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4A" w:rsidRDefault="00A02909" w:rsidP="00A02909">
      <w:pPr>
        <w:ind w:left="360" w:hangingChars="50" w:hanging="360"/>
        <w:rPr>
          <w:rFonts w:ascii="ˎ̥" w:hAnsi="ˎ̥" w:cs="宋体"/>
          <w:b/>
          <w:bCs/>
          <w:color w:val="FF0000"/>
          <w:kern w:val="0"/>
          <w:sz w:val="72"/>
          <w:szCs w:val="52"/>
        </w:rPr>
      </w:pPr>
      <w:r w:rsidRPr="00A02909">
        <w:rPr>
          <w:rFonts w:ascii="ˎ̥" w:hAnsi="ˎ̥" w:cs="宋体"/>
          <w:b/>
          <w:bCs/>
          <w:color w:val="FF0000"/>
          <w:kern w:val="0"/>
          <w:sz w:val="72"/>
          <w:szCs w:val="52"/>
        </w:rPr>
        <w:t>江</w:t>
      </w:r>
      <w:r w:rsidRPr="00A02909">
        <w:rPr>
          <w:rFonts w:ascii="ˎ̥" w:hAnsi="ˎ̥" w:cs="宋体" w:hint="eastAsia"/>
          <w:b/>
          <w:bCs/>
          <w:color w:val="FF0000"/>
          <w:kern w:val="0"/>
          <w:sz w:val="72"/>
          <w:szCs w:val="52"/>
        </w:rPr>
        <w:t xml:space="preserve"> </w:t>
      </w:r>
      <w:r w:rsidRPr="00A02909">
        <w:rPr>
          <w:rFonts w:ascii="ˎ̥" w:hAnsi="ˎ̥" w:cs="宋体"/>
          <w:b/>
          <w:bCs/>
          <w:color w:val="FF0000"/>
          <w:kern w:val="0"/>
          <w:sz w:val="72"/>
          <w:szCs w:val="52"/>
        </w:rPr>
        <w:t>苏</w:t>
      </w:r>
      <w:r w:rsidRPr="00A02909">
        <w:rPr>
          <w:rFonts w:ascii="ˎ̥" w:hAnsi="ˎ̥" w:cs="宋体" w:hint="eastAsia"/>
          <w:b/>
          <w:bCs/>
          <w:color w:val="FF0000"/>
          <w:kern w:val="0"/>
          <w:sz w:val="72"/>
          <w:szCs w:val="52"/>
        </w:rPr>
        <w:t xml:space="preserve"> </w:t>
      </w:r>
      <w:r w:rsidRPr="00A02909">
        <w:rPr>
          <w:rFonts w:ascii="ˎ̥" w:hAnsi="ˎ̥" w:cs="宋体"/>
          <w:b/>
          <w:bCs/>
          <w:color w:val="FF0000"/>
          <w:kern w:val="0"/>
          <w:sz w:val="72"/>
          <w:szCs w:val="52"/>
        </w:rPr>
        <w:t>省</w:t>
      </w:r>
      <w:r w:rsidRPr="00A02909">
        <w:rPr>
          <w:rFonts w:ascii="ˎ̥" w:hAnsi="ˎ̥" w:cs="宋体" w:hint="eastAsia"/>
          <w:b/>
          <w:bCs/>
          <w:color w:val="FF0000"/>
          <w:kern w:val="0"/>
          <w:sz w:val="72"/>
          <w:szCs w:val="52"/>
        </w:rPr>
        <w:t xml:space="preserve"> </w:t>
      </w:r>
      <w:r w:rsidRPr="00A02909">
        <w:rPr>
          <w:rFonts w:ascii="ˎ̥" w:hAnsi="ˎ̥" w:cs="宋体"/>
          <w:b/>
          <w:bCs/>
          <w:color w:val="FF0000"/>
          <w:kern w:val="0"/>
          <w:sz w:val="72"/>
          <w:szCs w:val="52"/>
        </w:rPr>
        <w:t>财</w:t>
      </w:r>
      <w:r w:rsidRPr="00A02909">
        <w:rPr>
          <w:rFonts w:ascii="ˎ̥" w:hAnsi="ˎ̥" w:cs="宋体" w:hint="eastAsia"/>
          <w:b/>
          <w:bCs/>
          <w:color w:val="FF0000"/>
          <w:kern w:val="0"/>
          <w:sz w:val="72"/>
          <w:szCs w:val="52"/>
        </w:rPr>
        <w:t xml:space="preserve"> </w:t>
      </w:r>
      <w:r w:rsidRPr="00A02909">
        <w:rPr>
          <w:rFonts w:ascii="ˎ̥" w:hAnsi="ˎ̥" w:cs="宋体"/>
          <w:b/>
          <w:bCs/>
          <w:color w:val="FF0000"/>
          <w:kern w:val="0"/>
          <w:sz w:val="72"/>
          <w:szCs w:val="52"/>
        </w:rPr>
        <w:t>政</w:t>
      </w:r>
      <w:r w:rsidRPr="00A02909">
        <w:rPr>
          <w:rFonts w:ascii="ˎ̥" w:hAnsi="ˎ̥" w:cs="宋体" w:hint="eastAsia"/>
          <w:b/>
          <w:bCs/>
          <w:color w:val="FF0000"/>
          <w:kern w:val="0"/>
          <w:sz w:val="72"/>
          <w:szCs w:val="52"/>
        </w:rPr>
        <w:t xml:space="preserve"> </w:t>
      </w:r>
      <w:r w:rsidRPr="00A02909">
        <w:rPr>
          <w:rFonts w:ascii="ˎ̥" w:hAnsi="ˎ̥" w:cs="宋体"/>
          <w:b/>
          <w:bCs/>
          <w:color w:val="FF0000"/>
          <w:kern w:val="0"/>
          <w:sz w:val="72"/>
          <w:szCs w:val="52"/>
        </w:rPr>
        <w:t>厅</w:t>
      </w:r>
      <w:r>
        <w:rPr>
          <w:rFonts w:ascii="ˎ̥" w:hAnsi="ˎ̥" w:cs="宋体" w:hint="eastAsia"/>
          <w:b/>
          <w:bCs/>
          <w:color w:val="FF0000"/>
          <w:kern w:val="0"/>
          <w:sz w:val="72"/>
          <w:szCs w:val="52"/>
        </w:rPr>
        <w:t xml:space="preserve"> </w:t>
      </w:r>
      <w:r w:rsidRPr="00A02909">
        <w:rPr>
          <w:rFonts w:ascii="ˎ̥" w:hAnsi="ˎ̥" w:cs="宋体" w:hint="eastAsia"/>
          <w:b/>
          <w:bCs/>
          <w:color w:val="FF0000"/>
          <w:kern w:val="0"/>
          <w:sz w:val="72"/>
          <w:szCs w:val="52"/>
        </w:rPr>
        <w:t>文</w:t>
      </w:r>
      <w:r w:rsidRPr="00A02909">
        <w:rPr>
          <w:rFonts w:ascii="ˎ̥" w:hAnsi="ˎ̥" w:cs="宋体" w:hint="eastAsia"/>
          <w:b/>
          <w:bCs/>
          <w:color w:val="FF0000"/>
          <w:kern w:val="0"/>
          <w:sz w:val="72"/>
          <w:szCs w:val="52"/>
        </w:rPr>
        <w:t xml:space="preserve"> </w:t>
      </w:r>
      <w:r w:rsidRPr="00A02909">
        <w:rPr>
          <w:rFonts w:ascii="ˎ̥" w:hAnsi="ˎ̥" w:cs="宋体" w:hint="eastAsia"/>
          <w:b/>
          <w:bCs/>
          <w:color w:val="FF0000"/>
          <w:kern w:val="0"/>
          <w:sz w:val="72"/>
          <w:szCs w:val="52"/>
        </w:rPr>
        <w:t>件</w:t>
      </w:r>
    </w:p>
    <w:p w:rsidR="00904EA1" w:rsidRDefault="00904EA1" w:rsidP="00A02909">
      <w:pPr>
        <w:ind w:left="360" w:hangingChars="50" w:hanging="360"/>
        <w:rPr>
          <w:rFonts w:ascii="ˎ̥" w:hAnsi="ˎ̥" w:cs="宋体"/>
          <w:b/>
          <w:bCs/>
          <w:color w:val="FF0000"/>
          <w:kern w:val="0"/>
          <w:sz w:val="72"/>
          <w:szCs w:val="52"/>
        </w:rPr>
      </w:pPr>
    </w:p>
    <w:p w:rsidR="00904EA1" w:rsidRPr="00904EA1" w:rsidRDefault="00904EA1" w:rsidP="00904EA1">
      <w:pPr>
        <w:ind w:left="160" w:hangingChars="50" w:hanging="160"/>
        <w:jc w:val="center"/>
        <w:rPr>
          <w:rFonts w:ascii="Verdana" w:hAnsi="Verdana" w:cs="宋体"/>
          <w:color w:val="000000" w:themeColor="text1"/>
          <w:kern w:val="0"/>
          <w:sz w:val="30"/>
          <w:szCs w:val="30"/>
        </w:rPr>
      </w:pPr>
      <w:r w:rsidRPr="00904EA1">
        <w:rPr>
          <w:rFonts w:ascii="方正仿宋_GBK" w:eastAsia="方正仿宋_GBK" w:hAnsi="微软雅黑" w:hint="eastAsia"/>
          <w:snapToGrid w:val="0"/>
          <w:color w:val="000000" w:themeColor="text1"/>
          <w:sz w:val="32"/>
          <w:szCs w:val="32"/>
        </w:rPr>
        <w:t>苏财购〔</w:t>
      </w:r>
      <w:r w:rsidRPr="00904EA1">
        <w:rPr>
          <w:rFonts w:ascii="Times New Roman" w:eastAsia="微软雅黑" w:hAnsi="Times New Roman" w:cs="Times New Roman"/>
          <w:snapToGrid w:val="0"/>
          <w:color w:val="000000" w:themeColor="text1"/>
          <w:sz w:val="32"/>
          <w:szCs w:val="32"/>
        </w:rPr>
        <w:t>2017</w:t>
      </w:r>
      <w:r w:rsidRPr="00904EA1">
        <w:rPr>
          <w:rFonts w:ascii="方正仿宋_GBK" w:eastAsia="方正仿宋_GBK" w:hAnsi="微软雅黑" w:hint="eastAsia"/>
          <w:snapToGrid w:val="0"/>
          <w:color w:val="000000" w:themeColor="text1"/>
          <w:sz w:val="32"/>
          <w:szCs w:val="32"/>
        </w:rPr>
        <w:t>〕</w:t>
      </w:r>
      <w:r w:rsidRPr="00904EA1">
        <w:rPr>
          <w:rFonts w:ascii="Times New Roman" w:eastAsia="微软雅黑" w:hAnsi="Times New Roman" w:cs="Times New Roman"/>
          <w:snapToGrid w:val="0"/>
          <w:color w:val="000000" w:themeColor="text1"/>
          <w:sz w:val="32"/>
          <w:szCs w:val="32"/>
        </w:rPr>
        <w:t>48</w:t>
      </w:r>
      <w:r w:rsidRPr="00904EA1">
        <w:rPr>
          <w:rFonts w:ascii="方正仿宋_GBK" w:eastAsia="方正仿宋_GBK" w:hAnsi="微软雅黑" w:hint="eastAsia"/>
          <w:snapToGrid w:val="0"/>
          <w:color w:val="000000" w:themeColor="text1"/>
          <w:sz w:val="32"/>
          <w:szCs w:val="32"/>
        </w:rPr>
        <w:t>号</w:t>
      </w:r>
    </w:p>
    <w:p w:rsidR="00904EA1" w:rsidRDefault="00904EA1" w:rsidP="00A02909">
      <w:pPr>
        <w:ind w:left="150" w:hangingChars="50" w:hanging="150"/>
        <w:rPr>
          <w:rFonts w:ascii="Verdana" w:hAnsi="Verdana" w:cs="宋体"/>
          <w:color w:val="000000"/>
          <w:kern w:val="0"/>
          <w:sz w:val="30"/>
          <w:szCs w:val="30"/>
        </w:rPr>
      </w:pPr>
      <w:r w:rsidRPr="00FD47D0">
        <w:rPr>
          <w:rFonts w:ascii="Verdana" w:hAnsi="Verdana" w:cs="宋体"/>
          <w:color w:val="000000"/>
          <w:kern w:val="0"/>
          <w:sz w:val="30"/>
          <w:szCs w:val="30"/>
        </w:rPr>
        <w:pict>
          <v:rect id="_x0000_i1025" style="width:0;height:1.5pt" o:hralign="center" o:hrstd="t" o:hrnoshade="t" o:hr="t" fillcolor="red" stroked="f"/>
        </w:pict>
      </w:r>
    </w:p>
    <w:p w:rsidR="00904EA1" w:rsidRPr="00904EA1" w:rsidRDefault="00904EA1" w:rsidP="00904EA1">
      <w:pPr>
        <w:ind w:left="221" w:hangingChars="50" w:hanging="221"/>
        <w:jc w:val="center"/>
        <w:rPr>
          <w:rFonts w:ascii="宋体" w:eastAsia="宋体" w:hAnsi="宋体" w:cs="宋体"/>
          <w:b/>
          <w:color w:val="000000"/>
          <w:kern w:val="0"/>
          <w:sz w:val="44"/>
          <w:szCs w:val="44"/>
        </w:rPr>
      </w:pPr>
      <w:r w:rsidRPr="00904EA1">
        <w:rPr>
          <w:rFonts w:ascii="宋体" w:eastAsia="宋体" w:hAnsi="宋体" w:cs="宋体" w:hint="eastAsia"/>
          <w:b/>
          <w:color w:val="000000"/>
          <w:kern w:val="0"/>
          <w:sz w:val="44"/>
          <w:szCs w:val="44"/>
        </w:rPr>
        <w:t>关于印发省级政府集中采购目录</w:t>
      </w:r>
    </w:p>
    <w:p w:rsidR="00904EA1" w:rsidRPr="00904EA1" w:rsidRDefault="00904EA1" w:rsidP="00904EA1">
      <w:pPr>
        <w:ind w:left="221" w:hangingChars="50" w:hanging="221"/>
        <w:jc w:val="center"/>
        <w:rPr>
          <w:rFonts w:ascii="宋体" w:eastAsia="宋体" w:hAnsi="宋体" w:cs="宋体"/>
          <w:b/>
          <w:color w:val="000000"/>
          <w:kern w:val="0"/>
          <w:sz w:val="44"/>
          <w:szCs w:val="44"/>
        </w:rPr>
      </w:pPr>
      <w:r w:rsidRPr="00904EA1">
        <w:rPr>
          <w:rFonts w:ascii="宋体" w:eastAsia="宋体" w:hAnsi="宋体" w:cs="宋体" w:hint="eastAsia"/>
          <w:b/>
          <w:color w:val="000000"/>
          <w:kern w:val="0"/>
          <w:sz w:val="44"/>
          <w:szCs w:val="44"/>
        </w:rPr>
        <w:t>及限额标准的通知</w:t>
      </w:r>
    </w:p>
    <w:p w:rsidR="00904EA1" w:rsidRPr="00904EA1" w:rsidRDefault="00904EA1" w:rsidP="00904EA1">
      <w:pPr>
        <w:ind w:left="221" w:hangingChars="50" w:hanging="221"/>
        <w:jc w:val="center"/>
        <w:rPr>
          <w:rFonts w:ascii="黑体" w:eastAsia="黑体" w:hAnsi="黑体" w:cs="宋体" w:hint="eastAsia"/>
          <w:b/>
          <w:color w:val="000000"/>
          <w:kern w:val="0"/>
          <w:sz w:val="44"/>
          <w:szCs w:val="44"/>
        </w:rPr>
      </w:pPr>
    </w:p>
    <w:p w:rsidR="00904EA1" w:rsidRPr="00904EA1" w:rsidRDefault="00904EA1" w:rsidP="00904EA1">
      <w:pPr>
        <w:rPr>
          <w:rFonts w:ascii="仿宋" w:eastAsia="仿宋" w:hAnsi="仿宋"/>
          <w:sz w:val="32"/>
          <w:szCs w:val="32"/>
        </w:rPr>
      </w:pPr>
      <w:r w:rsidRPr="00904EA1">
        <w:rPr>
          <w:rFonts w:ascii="仿宋" w:eastAsia="仿宋" w:hAnsi="仿宋" w:hint="eastAsia"/>
          <w:sz w:val="32"/>
          <w:szCs w:val="32"/>
        </w:rPr>
        <w:t>省各部、委、办、厅、局，省各直属单位：</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根据《政府采购法》、《政府采购法实施条例》和省政府办公厅关于政府集中采购目录公布事项授权，现将修订后的《江苏省省级政府集中采购目录及限额标准》印发给你们，自</w:t>
      </w:r>
      <w:r w:rsidRPr="00904EA1">
        <w:rPr>
          <w:rFonts w:ascii="仿宋" w:eastAsia="仿宋" w:hAnsi="仿宋"/>
          <w:sz w:val="32"/>
          <w:szCs w:val="32"/>
        </w:rPr>
        <w:t>2018年1月1日起实行。有关事项通知如下：</w:t>
      </w:r>
    </w:p>
    <w:p w:rsidR="00904EA1" w:rsidRPr="00A94508" w:rsidRDefault="00904EA1" w:rsidP="00904EA1">
      <w:pPr>
        <w:ind w:firstLineChars="200" w:firstLine="640"/>
        <w:rPr>
          <w:rFonts w:ascii="黑体" w:eastAsia="黑体" w:hAnsi="黑体"/>
          <w:sz w:val="32"/>
          <w:szCs w:val="32"/>
        </w:rPr>
      </w:pPr>
      <w:r w:rsidRPr="00A94508">
        <w:rPr>
          <w:rFonts w:ascii="黑体" w:eastAsia="黑体" w:hAnsi="黑体" w:hint="eastAsia"/>
          <w:sz w:val="32"/>
          <w:szCs w:val="32"/>
        </w:rPr>
        <w:t>一、集中采购（部门集中采购）、分散采购和自行采购及限额标准</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（一）集中采购。集中采购是指采购人将列入集中采购目录的项目委托集中采购机构代理采购或进行部门集中采购的行为。各部门和单位（以下统称采购人）采购政府集中采购目录内</w:t>
      </w:r>
      <w:r w:rsidRPr="00904EA1">
        <w:rPr>
          <w:rFonts w:ascii="仿宋" w:eastAsia="仿宋" w:hAnsi="仿宋"/>
          <w:sz w:val="32"/>
          <w:szCs w:val="32"/>
        </w:rPr>
        <w:t>100万元以上的货物和服务项目，应依法委托江苏省政府采购中心代理采购，并与省政府采购中心签订委托代理协议，提出合理采购需求，配合省政府采购中心开展采购活动。</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lastRenderedPageBreak/>
        <w:t>政府集中采购目录中的进口机电产品招标投标项目，经省财政厅批准，可转为分散采购，按国际招标有关规定执行。</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省级部门集中采购项目按部门集中采购目录执行。</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二）分散采购。分散采购是指采购人将采购限额标准以上的未列入集中采购目录的项目自行组织采购或委托采购代理机构代理采购的行为。省级分散采购包括集中采购目录内（除批量集中采购、协议供货及定点采购外）采购预算</w:t>
      </w:r>
      <w:r w:rsidRPr="00904EA1">
        <w:rPr>
          <w:rFonts w:ascii="仿宋" w:eastAsia="仿宋" w:hAnsi="仿宋"/>
          <w:sz w:val="32"/>
          <w:szCs w:val="32"/>
        </w:rPr>
        <w:t>20万元（含）以上、100万元（不含）以下的货物和服务项目，以及工程预算100万元以上项目和集中采购目录以外20万元以上的采购项目。分散采购应按《政府采购法》有关规定，由采购人按规定自行组织采购或委托有政府采购代理资格的社会代理机构代理采购。</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（三）自行采购。自行采购是分散采购的一种形式。省级自行采购包含三部分。一是货物类。对单项或同批预算</w:t>
      </w:r>
      <w:r w:rsidRPr="00904EA1">
        <w:rPr>
          <w:rFonts w:ascii="仿宋" w:eastAsia="仿宋" w:hAnsi="仿宋"/>
          <w:sz w:val="32"/>
          <w:szCs w:val="32"/>
        </w:rPr>
        <w:t>20万元（不含）以下的货物，实行网上商城采购。对个别网上商城不能满足需求的项目，采购单位可按财务管理规定，经部门、单位负责人批准可实行线下采购。二是工程类。对施工单项合同预算20万元（不含）以下实行自行采购。三是服务类。对单项或同批预算20万元（不含）以下（除协议供货外）实行自行采购。</w:t>
      </w:r>
    </w:p>
    <w:p w:rsidR="00904EA1" w:rsidRPr="00A94508" w:rsidRDefault="00904EA1" w:rsidP="00904EA1">
      <w:pPr>
        <w:ind w:firstLineChars="200" w:firstLine="640"/>
        <w:rPr>
          <w:rFonts w:ascii="黑体" w:eastAsia="黑体" w:hAnsi="黑体"/>
          <w:sz w:val="32"/>
          <w:szCs w:val="32"/>
        </w:rPr>
      </w:pPr>
      <w:r w:rsidRPr="00A94508">
        <w:rPr>
          <w:rFonts w:ascii="黑体" w:eastAsia="黑体" w:hAnsi="黑体" w:hint="eastAsia"/>
          <w:sz w:val="32"/>
          <w:szCs w:val="32"/>
        </w:rPr>
        <w:t>二、协议供货（定点采购）和批量集中采购管理</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（一）协议供货是集中采购的特殊形式。指通过公开招</w:t>
      </w:r>
      <w:r w:rsidRPr="00904EA1">
        <w:rPr>
          <w:rFonts w:ascii="仿宋" w:eastAsia="仿宋" w:hAnsi="仿宋" w:hint="eastAsia"/>
          <w:sz w:val="32"/>
          <w:szCs w:val="32"/>
        </w:rPr>
        <w:lastRenderedPageBreak/>
        <w:t>标等方式，确定特定政府采购项目的中标供应商及中标产品的价格和服务条件，以协议书的形式，由采购人在确定的中标供应商范围内以及供货有效期内自主选择的一种采购方式。省级协议供货货物类限额标准：采购预算在</w:t>
      </w:r>
      <w:r w:rsidRPr="00904EA1">
        <w:rPr>
          <w:rFonts w:ascii="仿宋" w:eastAsia="仿宋" w:hAnsi="仿宋"/>
          <w:sz w:val="32"/>
          <w:szCs w:val="32"/>
        </w:rPr>
        <w:t>20万元（含）以上、100万元（不含）以下的项目，包括：PC服务器、防火墙、入侵检测设备、图书、家具用具、公务用车（100万元（不含）以下）。服务类限额标准：采购预算在100万元（不含）以下的项目，包括：车辆维修和保养、会议服务、会计服务、审计服务、印刷服务、物业管理</w:t>
      </w:r>
      <w:r w:rsidRPr="00904EA1">
        <w:rPr>
          <w:rFonts w:ascii="仿宋" w:eastAsia="仿宋" w:hAnsi="仿宋" w:hint="eastAsia"/>
          <w:sz w:val="32"/>
          <w:szCs w:val="32"/>
        </w:rPr>
        <w:t>服务、机动车保险服务。工程类限额标准：施工单项合同预算价在</w:t>
      </w:r>
      <w:r w:rsidRPr="00904EA1">
        <w:rPr>
          <w:rFonts w:ascii="仿宋" w:eastAsia="仿宋" w:hAnsi="仿宋"/>
          <w:sz w:val="32"/>
          <w:szCs w:val="32"/>
        </w:rPr>
        <w:t>20万元（含）以上、100万元（不含）以下。定点采购是协议供货的特殊形式。协议供货的管理按《江苏省省级政府采购协议供货管理暂行办法》和《关于明确省级政府采购协议供货工作有关问题的通知》执行。</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协议供货项目采购预算在</w:t>
      </w:r>
      <w:r w:rsidRPr="00904EA1">
        <w:rPr>
          <w:rFonts w:ascii="仿宋" w:eastAsia="仿宋" w:hAnsi="仿宋"/>
          <w:sz w:val="32"/>
          <w:szCs w:val="32"/>
        </w:rPr>
        <w:t>100万元（物业管理服务200万元以内）以上的，应委托省政府采购中心组织采购。</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二）批量集中采购是对一些通用性强、技术规格统一、便于归集的政府采购品目，由采购人按规定标准归集采购需求，交由集中采购机构统一组织的采购形式。省级批量集中采购项目是：便携式计算机、台式计算机、打印机和空调。具体限额标准为：单项或同批预算在</w:t>
      </w:r>
      <w:r w:rsidRPr="00904EA1">
        <w:rPr>
          <w:rFonts w:ascii="仿宋" w:eastAsia="仿宋" w:hAnsi="仿宋"/>
          <w:sz w:val="32"/>
          <w:szCs w:val="32"/>
        </w:rPr>
        <w:t>20万元(含）以上的，统一交由省政府采购中心组织采购。</w:t>
      </w:r>
    </w:p>
    <w:p w:rsidR="00904EA1" w:rsidRPr="00A94508" w:rsidRDefault="00904EA1" w:rsidP="00904EA1">
      <w:pPr>
        <w:ind w:firstLineChars="200" w:firstLine="640"/>
        <w:rPr>
          <w:rFonts w:ascii="黑体" w:eastAsia="黑体" w:hAnsi="黑体"/>
          <w:sz w:val="32"/>
          <w:szCs w:val="32"/>
        </w:rPr>
      </w:pPr>
      <w:r w:rsidRPr="00A94508">
        <w:rPr>
          <w:rFonts w:ascii="黑体" w:eastAsia="黑体" w:hAnsi="黑体" w:hint="eastAsia"/>
          <w:sz w:val="32"/>
          <w:szCs w:val="32"/>
        </w:rPr>
        <w:lastRenderedPageBreak/>
        <w:t>三、公开招标政策规定</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公开招标数额标准为应实施公开招标的最低限额。对政府集中采购、部门集中采购和分散采购，凡单项或批量采购预算金额达到公开招标数额标准以上的货物、服务项目，都应采用公开招标方式。省级公开招标数额标准为</w:t>
      </w:r>
      <w:r w:rsidRPr="00904EA1">
        <w:rPr>
          <w:rFonts w:ascii="仿宋" w:eastAsia="仿宋" w:hAnsi="仿宋"/>
          <w:sz w:val="32"/>
          <w:szCs w:val="32"/>
        </w:rPr>
        <w:t>200万元（含）以上。</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达到公开招标数额标准的货物或服务类采购项目，在采购活动开始前或开标后因特殊情况需要采用公开招标以外采购方式，均应按政府采购法律法规和《江苏省货物及服务政府采购方式变更管理暂行办法》（苏财购〔</w:t>
      </w:r>
      <w:r w:rsidRPr="00904EA1">
        <w:rPr>
          <w:rFonts w:ascii="仿宋" w:eastAsia="仿宋" w:hAnsi="仿宋"/>
          <w:sz w:val="32"/>
          <w:szCs w:val="32"/>
        </w:rPr>
        <w:t>2007〕9号）、《关于明确江苏省货物及服务政府采购方式变更管理中有关事项的通知》（苏财购〔2009〕29号）和《关于在省级部门实行政府采购在线专项审核的通知》（苏财购〔2017〕21号）的规定，在江苏政府采购网“在线服务”栏提出变更申请，经批准后实施。</w:t>
      </w:r>
    </w:p>
    <w:p w:rsidR="00904EA1" w:rsidRPr="00904EA1" w:rsidRDefault="00904EA1" w:rsidP="00904EA1">
      <w:pPr>
        <w:ind w:firstLineChars="200" w:firstLine="640"/>
        <w:rPr>
          <w:rFonts w:ascii="仿宋" w:eastAsia="仿宋" w:hAnsi="仿宋"/>
          <w:sz w:val="32"/>
          <w:szCs w:val="32"/>
        </w:rPr>
      </w:pPr>
      <w:r w:rsidRPr="00904EA1">
        <w:rPr>
          <w:rFonts w:ascii="仿宋" w:eastAsia="仿宋" w:hAnsi="仿宋" w:hint="eastAsia"/>
          <w:sz w:val="32"/>
          <w:szCs w:val="32"/>
        </w:rPr>
        <w:t>工程类项目招标执行省政府印发的《江苏省工程建设项目招标范围和规模标准规定》（苏政发〔</w:t>
      </w:r>
      <w:r w:rsidRPr="00904EA1">
        <w:rPr>
          <w:rFonts w:ascii="仿宋" w:eastAsia="仿宋" w:hAnsi="仿宋"/>
          <w:sz w:val="32"/>
          <w:szCs w:val="32"/>
        </w:rPr>
        <w:t>2004〕48号）。</w:t>
      </w:r>
    </w:p>
    <w:p w:rsidR="00904EA1" w:rsidRPr="00E365E4" w:rsidRDefault="00904EA1" w:rsidP="00904EA1">
      <w:pPr>
        <w:ind w:firstLineChars="200" w:firstLine="640"/>
        <w:rPr>
          <w:rFonts w:ascii="黑体" w:eastAsia="黑体" w:hAnsi="黑体"/>
          <w:sz w:val="32"/>
          <w:szCs w:val="32"/>
        </w:rPr>
      </w:pPr>
      <w:r w:rsidRPr="00E365E4">
        <w:rPr>
          <w:rFonts w:ascii="黑体" w:eastAsia="黑体" w:hAnsi="黑体" w:hint="eastAsia"/>
          <w:sz w:val="32"/>
          <w:szCs w:val="32"/>
        </w:rPr>
        <w:t>四、其他事项</w:t>
      </w:r>
    </w:p>
    <w:p w:rsidR="00904EA1" w:rsidRPr="00904EA1" w:rsidRDefault="00904EA1" w:rsidP="00904EA1">
      <w:pPr>
        <w:ind w:firstLineChars="200" w:firstLine="640"/>
        <w:rPr>
          <w:rFonts w:ascii="仿宋" w:eastAsia="仿宋" w:hAnsi="仿宋" w:hint="eastAsia"/>
          <w:sz w:val="32"/>
          <w:szCs w:val="32"/>
        </w:rPr>
      </w:pPr>
      <w:bookmarkStart w:id="0" w:name="_GoBack"/>
      <w:bookmarkEnd w:id="0"/>
      <w:r w:rsidRPr="00904EA1">
        <w:rPr>
          <w:rFonts w:ascii="仿宋" w:eastAsia="仿宋" w:hAnsi="仿宋"/>
          <w:sz w:val="32"/>
          <w:szCs w:val="32"/>
        </w:rPr>
        <w:t>采购人应按照省财政厅《关于转发财政部加强政府采购活动内部控制管理指导意见的通知》（苏财购〔2016〕37号）和省财政厅《转发财政部关于进一步加强政府采购需求和履约验收管理的指导意见》（苏财购〔2017〕14号）要求，强化</w:t>
      </w:r>
      <w:r w:rsidRPr="00904EA1">
        <w:rPr>
          <w:rFonts w:ascii="仿宋" w:eastAsia="仿宋" w:hAnsi="仿宋"/>
          <w:sz w:val="32"/>
          <w:szCs w:val="32"/>
        </w:rPr>
        <w:lastRenderedPageBreak/>
        <w:t>主体责任，加强内部管理，严格执行法规制度，建立健全集中采购、分散采购和自行采购监管制度。要落实岗位制衡、职责分工、集体决策、公开透明的工作要求，依法参加集中采购，依法实施分散采购，规范开展自行采购。</w:t>
      </w:r>
    </w:p>
    <w:sectPr w:rsidR="00904EA1" w:rsidRPr="00904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E1F" w:rsidRDefault="00644E1F" w:rsidP="00A02909">
      <w:r>
        <w:separator/>
      </w:r>
    </w:p>
  </w:endnote>
  <w:endnote w:type="continuationSeparator" w:id="0">
    <w:p w:rsidR="00644E1F" w:rsidRDefault="00644E1F" w:rsidP="00A0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E1F" w:rsidRDefault="00644E1F" w:rsidP="00A02909">
      <w:r>
        <w:separator/>
      </w:r>
    </w:p>
  </w:footnote>
  <w:footnote w:type="continuationSeparator" w:id="0">
    <w:p w:rsidR="00644E1F" w:rsidRDefault="00644E1F" w:rsidP="00A02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20"/>
    <w:rsid w:val="004F49D1"/>
    <w:rsid w:val="00644E1F"/>
    <w:rsid w:val="00904EA1"/>
    <w:rsid w:val="00A02909"/>
    <w:rsid w:val="00A94508"/>
    <w:rsid w:val="00BD0C4A"/>
    <w:rsid w:val="00DA7320"/>
    <w:rsid w:val="00E3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21F16"/>
  <w15:chartTrackingRefBased/>
  <w15:docId w15:val="{CAC38D41-4C4E-430E-9A70-9BD52F50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2909"/>
    <w:rPr>
      <w:sz w:val="18"/>
      <w:szCs w:val="18"/>
    </w:rPr>
  </w:style>
  <w:style w:type="paragraph" w:styleId="a5">
    <w:name w:val="footer"/>
    <w:basedOn w:val="a"/>
    <w:link w:val="a6"/>
    <w:uiPriority w:val="99"/>
    <w:unhideWhenUsed/>
    <w:rsid w:val="00A02909"/>
    <w:pPr>
      <w:tabs>
        <w:tab w:val="center" w:pos="4153"/>
        <w:tab w:val="right" w:pos="8306"/>
      </w:tabs>
      <w:snapToGrid w:val="0"/>
      <w:jc w:val="left"/>
    </w:pPr>
    <w:rPr>
      <w:sz w:val="18"/>
      <w:szCs w:val="18"/>
    </w:rPr>
  </w:style>
  <w:style w:type="character" w:customStyle="1" w:styleId="a6">
    <w:name w:val="页脚 字符"/>
    <w:basedOn w:val="a0"/>
    <w:link w:val="a5"/>
    <w:uiPriority w:val="99"/>
    <w:rsid w:val="00A02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76096">
      <w:bodyDiv w:val="1"/>
      <w:marLeft w:val="0"/>
      <w:marRight w:val="0"/>
      <w:marTop w:val="0"/>
      <w:marBottom w:val="0"/>
      <w:divBdr>
        <w:top w:val="none" w:sz="0" w:space="0" w:color="auto"/>
        <w:left w:val="none" w:sz="0" w:space="0" w:color="auto"/>
        <w:bottom w:val="none" w:sz="0" w:space="0" w:color="auto"/>
        <w:right w:val="none" w:sz="0" w:space="0" w:color="auto"/>
      </w:divBdr>
      <w:divsChild>
        <w:div w:id="1989434812">
          <w:marLeft w:val="0"/>
          <w:marRight w:val="0"/>
          <w:marTop w:val="0"/>
          <w:marBottom w:val="0"/>
          <w:divBdr>
            <w:top w:val="none" w:sz="0" w:space="0" w:color="auto"/>
            <w:left w:val="single" w:sz="6" w:space="1" w:color="C0C0C0"/>
            <w:bottom w:val="none" w:sz="0" w:space="0" w:color="auto"/>
            <w:right w:val="single" w:sz="6" w:space="1" w:color="C0C0C0"/>
          </w:divBdr>
          <w:divsChild>
            <w:div w:id="359546974">
              <w:marLeft w:val="0"/>
              <w:marRight w:val="0"/>
              <w:marTop w:val="0"/>
              <w:marBottom w:val="0"/>
              <w:divBdr>
                <w:top w:val="none" w:sz="0" w:space="0" w:color="auto"/>
                <w:left w:val="none" w:sz="0" w:space="0" w:color="auto"/>
                <w:bottom w:val="none" w:sz="0" w:space="0" w:color="auto"/>
                <w:right w:val="none" w:sz="0" w:space="0" w:color="auto"/>
              </w:divBdr>
              <w:divsChild>
                <w:div w:id="419299892">
                  <w:marLeft w:val="0"/>
                  <w:marRight w:val="0"/>
                  <w:marTop w:val="0"/>
                  <w:marBottom w:val="0"/>
                  <w:divBdr>
                    <w:top w:val="none" w:sz="0" w:space="0" w:color="auto"/>
                    <w:left w:val="none" w:sz="0" w:space="0" w:color="auto"/>
                    <w:bottom w:val="none" w:sz="0" w:space="0" w:color="auto"/>
                    <w:right w:val="none" w:sz="0" w:space="0" w:color="auto"/>
                  </w:divBdr>
                  <w:divsChild>
                    <w:div w:id="1803763367">
                      <w:marLeft w:val="0"/>
                      <w:marRight w:val="0"/>
                      <w:marTop w:val="0"/>
                      <w:marBottom w:val="0"/>
                      <w:divBdr>
                        <w:top w:val="none" w:sz="0" w:space="0" w:color="auto"/>
                        <w:left w:val="none" w:sz="0" w:space="0" w:color="auto"/>
                        <w:bottom w:val="none" w:sz="0" w:space="0" w:color="auto"/>
                        <w:right w:val="none" w:sz="0" w:space="0" w:color="auto"/>
                      </w:divBdr>
                      <w:divsChild>
                        <w:div w:id="2096054152">
                          <w:marLeft w:val="0"/>
                          <w:marRight w:val="0"/>
                          <w:marTop w:val="0"/>
                          <w:marBottom w:val="0"/>
                          <w:divBdr>
                            <w:top w:val="none" w:sz="0" w:space="0" w:color="auto"/>
                            <w:left w:val="none" w:sz="0" w:space="0" w:color="auto"/>
                            <w:bottom w:val="none" w:sz="0" w:space="0" w:color="auto"/>
                            <w:right w:val="none" w:sz="0" w:space="0" w:color="auto"/>
                          </w:divBdr>
                          <w:divsChild>
                            <w:div w:id="109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309</Words>
  <Characters>1763</Characters>
  <Application>Microsoft Office Word</Application>
  <DocSecurity>0</DocSecurity>
  <Lines>14</Lines>
  <Paragraphs>4</Paragraphs>
  <ScaleCrop>false</ScaleCrop>
  <Company>china</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吴嗣翀</dc:creator>
  <cp:keywords/>
  <dc:description/>
  <cp:lastModifiedBy>吴嗣翀</cp:lastModifiedBy>
  <cp:revision>6</cp:revision>
  <dcterms:created xsi:type="dcterms:W3CDTF">2018-01-18T01:12:00Z</dcterms:created>
  <dcterms:modified xsi:type="dcterms:W3CDTF">2018-01-18T01:22:00Z</dcterms:modified>
</cp:coreProperties>
</file>